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0" w:before="0"/>
      </w:pPr>
      <w:r>
        <w:drawing>
          <wp:inline xmlns:a="http://schemas.openxmlformats.org/drawingml/2006/main" xmlns:pic="http://schemas.openxmlformats.org/drawingml/2006/picture">
            <wp:extent cx="6120000" cy="108000"/>
            <wp:docPr id="1" name="Picture 1"/>
            <wp:cNvGraphicFramePr>
              <a:graphicFrameLocks noChangeAspect="1"/>
            </wp:cNvGraphicFramePr>
            <a:graphic>
              <a:graphicData uri="http://schemas.openxmlformats.org/drawingml/2006/picture">
                <pic:pic>
                  <pic:nvPicPr>
                    <pic:cNvPr id="0" name="grad_topstrip.png"/>
                    <pic:cNvPicPr/>
                  </pic:nvPicPr>
                  <pic:blipFill>
                    <a:blip r:embed="rId12"/>
                    <a:stretch>
                      <a:fillRect/>
                    </a:stretch>
                  </pic:blipFill>
                  <pic:spPr>
                    <a:xfrm>
                      <a:off x="0" y="0"/>
                      <a:ext cx="6120000" cy="108000"/>
                    </a:xfrm>
                    <a:prstGeom prst="rect"/>
                  </pic:spPr>
                </pic:pic>
              </a:graphicData>
            </a:graphic>
          </wp:inline>
        </w:drawing>
      </w:r>
    </w:p>
    <w:tbl>
      <w:tblPr>
        <w:tblW w:type="auto" w:w="0"/>
        <w:tblLayout w:type="fixed"/>
        <w:tblLook w:firstColumn="1" w:firstRow="1" w:lastColumn="0" w:lastRow="0" w:noHBand="0" w:noVBand="1" w:val="04A0"/>
      </w:tblPr>
      <w:tblGrid>
        <w:gridCol w:w="9638"/>
      </w:tblGrid>
      <w:tr>
        <w:tc>
          <w:tcPr>
            <w:tcW w:type="dxa" w:w="9638"/>
            <w:shd w:val="clear" w:color="auto" w:fill="F8F1FA"/>
            <w:tcBorders>
              <w:top w:val="single" w:sz="6" w:space="0" w:color="E5DAF1"/>
              <w:bottom w:val="single" w:sz="6" w:space="0" w:color="E5DAF1"/>
              <w:left w:val="single" w:sz="6" w:space="0" w:color="E5DAF1"/>
              <w:right w:val="single" w:sz="6" w:space="0" w:color="E5DAF1"/>
            </w:tcBorders>
            <w:tcMar>
              <w:top w:w="240" w:type="dxa"/>
              <w:bottom w:w="240" w:type="dxa"/>
              <w:start w:w="150" w:type="dxa"/>
              <w:end w:w="150" w:type="dxa"/>
            </w:tcMar>
            <w:vAlign w:val="center"/>
          </w:tcPr>
          <w:p>
            <w:pPr>
              <w:jc w:val="center"/>
            </w:pPr>
            <w:r>
              <w:rPr>
                <w:i/>
                <w:color w:val="665979"/>
                <w:sz w:val="22"/>
              </w:rPr>
              <w:t>[  Insert your organisation logo here  ]</w:t>
            </w:r>
          </w:p>
        </w:tc>
      </w:tr>
    </w:tbl>
    <w:p>
      <w:pPr>
        <w:spacing w:after="200" w:before="0"/>
      </w:pPr>
    </w:p>
    <w:p>
      <w:pPr>
        <w:spacing w:after="40" w:before="0"/>
      </w:pPr>
      <w:r>
        <w:rPr>
          <w:b/>
          <w:i w:val="0"/>
          <w:color w:val="B843F3"/>
          <w:sz w:val="22"/>
        </w:rPr>
        <w:t>GUIDE</w:t>
      </w:r>
    </w:p>
    <w:p>
      <w:pPr>
        <w:pStyle w:val="Title"/>
        <w:spacing w:after="40"/>
      </w:pPr>
      <w:r>
        <w:t>ISMS Implementation &amp; Usage Guide</w:t>
      </w:r>
    </w:p>
    <w:p>
      <w:pPr>
        <w:spacing w:after="160" w:before="0"/>
      </w:pPr>
      <w:r>
        <w:rPr>
          <w:b w:val="0"/>
          <w:i w:val="0"/>
          <w:color w:val="44089B"/>
          <w:sz w:val="25"/>
        </w:rPr>
        <w:t>ISO/IEC 27001:2022  Information Security Management System</w:t>
      </w:r>
    </w:p>
    <w:p>
      <w:pPr>
        <w:spacing w:after="200" w:before="0"/>
      </w:pPr>
      <w:r>
        <w:drawing>
          <wp:inline xmlns:a="http://schemas.openxmlformats.org/drawingml/2006/main" xmlns:pic="http://schemas.openxmlformats.org/drawingml/2006/picture">
            <wp:extent cx="6120000" cy="93600"/>
            <wp:docPr id="2" name="Picture 2"/>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93600"/>
                    </a:xfrm>
                    <a:prstGeom prst="rect"/>
                  </pic:spPr>
                </pic:pic>
              </a:graphicData>
            </a:graphic>
          </wp:inline>
        </w:drawing>
      </w:r>
    </w:p>
    <w:p>
      <w:pPr>
        <w:spacing w:after="280"/>
      </w:pPr>
      <w:r>
        <w:rPr>
          <w:b/>
          <w:i w:val="0"/>
          <w:color w:val="44089B"/>
          <w:sz w:val="22"/>
        </w:rPr>
        <w:t xml:space="preserve">Prepared for:  </w:t>
      </w:r>
      <w:r>
        <w:rPr>
          <w:b w:val="0"/>
          <w:i w:val="0"/>
          <w:color w:val="1C1626"/>
          <w:sz w:val="22"/>
        </w:rPr>
        <w:t>[Organisation Name]</w:t>
      </w:r>
    </w:p>
    <w:p>
      <w:pPr>
        <w:pStyle w:val="Heading3"/>
      </w:pPr>
      <w:r>
        <w:t>Document control</w:t>
      </w:r>
    </w:p>
    <w:tbl>
      <w:tblPr>
        <w:tblW w:type="auto" w:w="0"/>
        <w:tblLayout w:type="fixed"/>
        <w:tblLook w:firstColumn="1" w:firstRow="1" w:lastColumn="0" w:lastRow="0" w:noHBand="0" w:noVBand="1" w:val="04A0"/>
      </w:tblPr>
      <w:tblGrid>
        <w:gridCol w:w="4819"/>
        <w:gridCol w:w="4819"/>
      </w:tblGrid>
      <w:tr>
        <w:trPr>
          <w:tblHeader w:val="true"/>
        </w:trPr>
        <w:tc>
          <w:tcPr>
            <w:tcW w:type="dxa" w:w="3118"/>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Field</w:t>
            </w:r>
          </w:p>
        </w:tc>
        <w:tc>
          <w:tcPr>
            <w:tcW w:type="dxa" w:w="652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Detail</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title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ISMS Implementation &amp; Usage Guide</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reference</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ISMS-GDE-01</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type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Guide</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Standard</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ISO/IEC 27001:2022 (incl. Amendment 1:2024)</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Version</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[0.1]</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Classification</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Confidential</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Owner</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Information Security Manager</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Approved by</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[Approver name / role]</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Date of issue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 Month YYYY]</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Next review date</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 Month YYYY]</w:t>
            </w:r>
          </w:p>
        </w:tc>
      </w:tr>
    </w:tbl>
    <w:p>
      <w:r>
        <w:br w:type="page"/>
      </w:r>
    </w:p>
    <w:p>
      <w:pPr>
        <w:pStyle w:val="Heading1"/>
      </w:pPr>
      <w:r>
        <w:t>1  About this guide</w:t>
      </w:r>
    </w:p>
    <w:p>
      <w:pPr>
        <w:spacing w:after="120" w:before="20"/>
      </w:pPr>
      <w:r>
        <w:drawing>
          <wp:inline xmlns:a="http://schemas.openxmlformats.org/drawingml/2006/main" xmlns:pic="http://schemas.openxmlformats.org/drawingml/2006/picture">
            <wp:extent cx="6120000" cy="57600"/>
            <wp:docPr id="3" name="Picture 3"/>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This guide explains how to adopt and operate the 27001 Systems ISO/IEC 27001:2022 Information Security Management System (ISMS) template suite. It is written for the person responsible for implementing the ISMS — typically the Information Security Manager — and for the leadership team that sponsors and approves it.</w:t>
      </w:r>
    </w:p>
    <w:p>
      <w:pPr>
        <w:spacing w:after="120" w:before="0"/>
      </w:pPr>
      <w:r>
        <w:rPr>
          <w:b w:val="0"/>
          <w:i w:val="0"/>
          <w:color w:val="1C1626"/>
          <w:sz w:val="21"/>
        </w:rPr>
        <w:t>The suite is a complete, cross-referenced set of policies, procedures, registers, forms and training material. Every document is a starting point: you insert your organisation's information in place of the bracketed placeholders, review the content for your context, and then approve and adopt it under your own version control.</w:t>
      </w:r>
    </w:p>
    <w:tbl>
      <w:tblPr>
        <w:tblW w:type="auto" w:w="0"/>
        <w:tblLayout w:type="fixed"/>
        <w:tblLook w:firstColumn="1" w:firstRow="1" w:lastColumn="0" w:lastRow="0" w:noHBand="0" w:noVBand="1" w:val="04A0"/>
      </w:tblPr>
      <w:tblGrid>
        <w:gridCol w:w="9638"/>
      </w:tblGrid>
      <w:tr>
        <w:tc>
          <w:tcPr>
            <w:tcW w:type="dxa" w:w="9638"/>
            <w:shd w:val="clear" w:color="auto" w:fill="F1E9FB"/>
            <w:tcBorders>
              <w:left w:val="single" w:sz="4" w:space="0" w:color="B843F3"/>
              <w:top w:val="single" w:sz="4" w:space="0" w:color="E5DAF1"/>
              <w:bottom w:val="single" w:sz="4" w:space="0" w:color="E5DAF1"/>
              <w:right w:val="single" w:sz="4" w:space="0" w:color="E5DAF1"/>
            </w:tcBorders>
            <w:tcMar>
              <w:top w:w="90" w:type="dxa"/>
              <w:bottom w:w="90" w:type="dxa"/>
              <w:start w:w="150" w:type="dxa"/>
              <w:end w:w="150" w:type="dxa"/>
            </w:tcMar>
          </w:tcPr>
          <w:p>
            <w:r/>
            <w:r>
              <w:rPr>
                <w:b/>
                <w:color w:val="44089B"/>
                <w:sz w:val="20"/>
              </w:rPr>
              <w:t>Before you start</w:t>
            </w:r>
          </w:p>
          <w:p>
            <w:pPr>
              <w:spacing w:after="40"/>
            </w:pPr>
            <w:r>
              <w:rPr>
                <w:color w:val="1C1626"/>
                <w:sz w:val="19"/>
              </w:rPr>
              <w:t>The templates are jurisdiction-neutral with Australian defaults provided as replaceable placeholders. Nothing in the suite is legal advice — have your policies reviewed against your own legal and contractual obligations before you rely on them.</w:t>
            </w:r>
          </w:p>
        </w:tc>
      </w:tr>
    </w:tbl>
    <w:p>
      <w:pPr>
        <w:pStyle w:val="Heading2"/>
      </w:pPr>
      <w:r>
        <w:t>1.1  How to use this guide</w:t>
      </w:r>
    </w:p>
    <w:p>
      <w:pPr>
        <w:pStyle w:val="ListBullet"/>
        <w:spacing w:after="60"/>
      </w:pPr>
      <w:r>
        <w:rPr>
          <w:b/>
          <w:i w:val="0"/>
          <w:color w:val="44089B"/>
          <w:sz w:val="21"/>
        </w:rPr>
        <w:t>Read Section 3 first</w:t>
      </w:r>
      <w:r>
        <w:rPr>
          <w:b w:val="0"/>
          <w:i w:val="0"/>
          <w:color w:val="1C1626"/>
          <w:sz w:val="21"/>
        </w:rPr>
        <w:t xml:space="preserve"> to understand how every document is structured so the rest of the suite feels familiar.</w:t>
      </w:r>
    </w:p>
    <w:p>
      <w:pPr>
        <w:pStyle w:val="ListBullet"/>
        <w:spacing w:after="60"/>
      </w:pPr>
      <w:r>
        <w:rPr>
          <w:b/>
          <w:i w:val="0"/>
          <w:color w:val="44089B"/>
          <w:sz w:val="21"/>
        </w:rPr>
        <w:t>Follow the roadmap in Section 5</w:t>
      </w:r>
      <w:r>
        <w:rPr>
          <w:b w:val="0"/>
          <w:i w:val="0"/>
          <w:color w:val="1C1626"/>
          <w:sz w:val="21"/>
        </w:rPr>
        <w:t xml:space="preserve"> in order — each step builds on the previous one and mirrors the ISO/IEC 27001 clauses.</w:t>
      </w:r>
    </w:p>
    <w:p>
      <w:pPr>
        <w:pStyle w:val="ListBullet"/>
        <w:spacing w:after="60"/>
      </w:pPr>
      <w:r>
        <w:rPr>
          <w:b/>
          <w:i w:val="0"/>
          <w:color w:val="44089B"/>
          <w:sz w:val="21"/>
        </w:rPr>
        <w:t>Use the document register</w:t>
      </w:r>
      <w:r>
        <w:rPr>
          <w:b w:val="0"/>
          <w:i w:val="0"/>
          <w:color w:val="1C1626"/>
          <w:sz w:val="21"/>
        </w:rPr>
        <w:t xml:space="preserve"> (ISMS-ARC-01) alongside this guide as the master index of every reference and title.</w:t>
      </w:r>
    </w:p>
    <w:p>
      <w:pPr>
        <w:pStyle w:val="Heading1"/>
      </w:pPr>
      <w:r>
        <w:t>2  What's included</w:t>
      </w:r>
    </w:p>
    <w:p>
      <w:pPr>
        <w:spacing w:after="120" w:before="20"/>
      </w:pPr>
      <w:r>
        <w:drawing>
          <wp:inline xmlns:a="http://schemas.openxmlformats.org/drawingml/2006/main" xmlns:pic="http://schemas.openxmlformats.org/drawingml/2006/picture">
            <wp:extent cx="6120000" cy="57600"/>
            <wp:docPr id="4" name="Picture 4"/>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The suite contains 79 controlled documents plus this guide, a Read Me &amp; sign-off sheet, a suite architecture register and a one-page coverage matrix. Documents are grouped into ten numbered folders so the reading and build order is obvious.</w:t>
      </w:r>
    </w:p>
    <w:tbl>
      <w:tblPr>
        <w:tblW w:type="auto" w:w="0"/>
        <w:tblLayout w:type="fixed"/>
        <w:tblLook w:firstColumn="1" w:firstRow="1" w:lastColumn="0" w:lastRow="0" w:noHBand="0" w:noVBand="1" w:val="04A0"/>
      </w:tblPr>
      <w:tblGrid>
        <w:gridCol w:w="3213"/>
        <w:gridCol w:w="3213"/>
        <w:gridCol w:w="3213"/>
      </w:tblGrid>
      <w:tr>
        <w:trPr>
          <w:tblHeader w:val="true"/>
        </w:trPr>
        <w:tc>
          <w:tcPr>
            <w:tcW w:type="dxa" w:w="2608"/>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Folder</w:t>
            </w:r>
          </w:p>
        </w:tc>
        <w:tc>
          <w:tcPr>
            <w:tcW w:type="dxa" w:w="5216"/>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Contents</w:t>
            </w:r>
          </w:p>
        </w:tc>
        <w:tc>
          <w:tcPr>
            <w:tcW w:type="dxa" w:w="181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Key references</w:t>
            </w:r>
          </w:p>
        </w:tc>
      </w:tr>
      <w:tr>
        <w:trPr>
          <w:cantSplit/>
        </w:trPr>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00 Start Here</w:t>
            </w:r>
          </w:p>
        </w:tc>
        <w:tc>
          <w:tcPr>
            <w:tcW w:type="dxa" w:w="5216"/>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Read Me &amp; sign-off, suite architecture register, coverage matrix, this guide</w:t>
            </w:r>
          </w:p>
        </w:tc>
        <w:tc>
          <w:tcPr>
            <w:tcW w:type="dxa" w:w="181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ARC-00, ARC-01, GDE-01</w:t>
            </w:r>
          </w:p>
        </w:tc>
      </w:tr>
      <w:tr>
        <w:trPr>
          <w:cantSplit/>
        </w:trPr>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01 ISMS Framework &amp; Governance</w:t>
            </w:r>
          </w:p>
        </w:tc>
        <w:tc>
          <w:tcPr>
            <w:tcW w:type="dxa" w:w="5216"/>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Context, scope, the ISMS Manual and governance roles/plans</w:t>
            </w:r>
          </w:p>
        </w:tc>
        <w:tc>
          <w:tcPr>
            <w:tcW w:type="dxa" w:w="181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CTX-01–03, MAN-01, GOV-01–06</w:t>
            </w:r>
          </w:p>
        </w:tc>
      </w:tr>
      <w:tr>
        <w:trPr>
          <w:cantSplit/>
        </w:trPr>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02 Risk Management &amp; SoA</w:t>
            </w:r>
          </w:p>
        </w:tc>
        <w:tc>
          <w:tcPr>
            <w:tcW w:type="dxa" w:w="5216"/>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Risk management procedure, risk register, Statement of Applicability</w:t>
            </w:r>
          </w:p>
        </w:tc>
        <w:tc>
          <w:tcPr>
            <w:tcW w:type="dxa" w:w="181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RSK-01, RSK-02, SOA-01</w:t>
            </w:r>
          </w:p>
        </w:tc>
      </w:tr>
      <w:tr>
        <w:trPr>
          <w:cantSplit/>
        </w:trPr>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03 Policies</w:t>
            </w:r>
          </w:p>
        </w:tc>
        <w:tc>
          <w:tcPr>
            <w:tcW w:type="dxa" w:w="5216"/>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29 topic policies covering the Annex A control themes</w:t>
            </w:r>
          </w:p>
        </w:tc>
        <w:tc>
          <w:tcPr>
            <w:tcW w:type="dxa" w:w="181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POL-01 – POL-29</w:t>
            </w:r>
          </w:p>
        </w:tc>
      </w:tr>
      <w:tr>
        <w:trPr>
          <w:cantSplit/>
        </w:trPr>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04 Procedures</w:t>
            </w:r>
          </w:p>
        </w:tc>
        <w:tc>
          <w:tcPr>
            <w:tcW w:type="dxa" w:w="5216"/>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10 operating procedures for running the ISMS</w:t>
            </w:r>
          </w:p>
        </w:tc>
        <w:tc>
          <w:tcPr>
            <w:tcW w:type="dxa" w:w="181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PRO-01 – PRO-10</w:t>
            </w:r>
          </w:p>
        </w:tc>
      </w:tr>
      <w:tr>
        <w:trPr>
          <w:cantSplit/>
        </w:trPr>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05 Registers &amp; Logs</w:t>
            </w:r>
          </w:p>
        </w:tc>
        <w:tc>
          <w:tcPr>
            <w:tcW w:type="dxa" w:w="5216"/>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Nine working registers and logs</w:t>
            </w:r>
          </w:p>
        </w:tc>
        <w:tc>
          <w:tcPr>
            <w:tcW w:type="dxa" w:w="181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REG-01 – REG-09</w:t>
            </w:r>
          </w:p>
        </w:tc>
      </w:tr>
      <w:tr>
        <w:trPr>
          <w:cantSplit/>
        </w:trPr>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06 Forms &amp; Templates</w:t>
            </w:r>
          </w:p>
        </w:tc>
        <w:tc>
          <w:tcPr>
            <w:tcW w:type="dxa" w:w="5216"/>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Nine fillable forms for day-to-day records</w:t>
            </w:r>
          </w:p>
        </w:tc>
        <w:tc>
          <w:tcPr>
            <w:tcW w:type="dxa" w:w="181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FRM-01 – FRM-09</w:t>
            </w:r>
          </w:p>
        </w:tc>
      </w:tr>
      <w:tr>
        <w:trPr>
          <w:cantSplit/>
        </w:trPr>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07 Business Continuity &amp; DR</w:t>
            </w:r>
          </w:p>
        </w:tc>
        <w:tc>
          <w:tcPr>
            <w:tcW w:type="dxa" w:w="5216"/>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Business impact analysis, BC and DR plans, test and review records</w:t>
            </w:r>
          </w:p>
        </w:tc>
        <w:tc>
          <w:tcPr>
            <w:tcW w:type="dxa" w:w="181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BCP-01 – BCP-05</w:t>
            </w:r>
          </w:p>
        </w:tc>
      </w:tr>
      <w:tr>
        <w:trPr>
          <w:cantSplit/>
        </w:trPr>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08 Internal Audit</w:t>
            </w:r>
          </w:p>
        </w:tc>
        <w:tc>
          <w:tcPr>
            <w:tcW w:type="dxa" w:w="5216"/>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Internal audit checklist across Clauses 4–10 and Annex A</w:t>
            </w:r>
          </w:p>
        </w:tc>
        <w:tc>
          <w:tcPr>
            <w:tcW w:type="dxa" w:w="181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AUD-01</w:t>
            </w:r>
          </w:p>
        </w:tc>
      </w:tr>
      <w:tr>
        <w:trPr>
          <w:cantSplit/>
        </w:trPr>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09 Training &amp; Awareness</w:t>
            </w:r>
          </w:p>
        </w:tc>
        <w:tc>
          <w:tcPr>
            <w:tcW w:type="dxa" w:w="5216"/>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Two training decks and the training &amp; awareness plan</w:t>
            </w:r>
          </w:p>
        </w:tc>
        <w:tc>
          <w:tcPr>
            <w:tcW w:type="dxa" w:w="181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TRN-01 – TRN-03</w:t>
            </w:r>
          </w:p>
        </w:tc>
      </w:tr>
    </w:tbl>
    <w:p>
      <w:pPr>
        <w:pStyle w:val="Heading1"/>
      </w:pPr>
      <w:r>
        <w:t>3  How every document is structured</w:t>
      </w:r>
    </w:p>
    <w:p>
      <w:pPr>
        <w:spacing w:after="120" w:before="20"/>
      </w:pPr>
      <w:r>
        <w:drawing>
          <wp:inline xmlns:a="http://schemas.openxmlformats.org/drawingml/2006/main" xmlns:pic="http://schemas.openxmlformats.org/drawingml/2006/picture">
            <wp:extent cx="6120000" cy="57600"/>
            <wp:docPr id="5" name="Picture 5"/>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Each document follows the same house style so they are quick to complete and consistent to audit.</w:t>
      </w:r>
    </w:p>
    <w:p>
      <w:pPr>
        <w:pStyle w:val="Heading2"/>
      </w:pPr>
      <w:r>
        <w:t>3.1  The cover page</w:t>
      </w:r>
    </w:p>
    <w:p>
      <w:pPr>
        <w:pStyle w:val="ListBullet"/>
        <w:spacing w:after="60"/>
      </w:pPr>
      <w:r>
        <w:rPr>
          <w:b/>
          <w:i w:val="0"/>
          <w:color w:val="44089B"/>
          <w:sz w:val="21"/>
        </w:rPr>
        <w:t xml:space="preserve">Your logo goes on top. </w:t>
      </w:r>
      <w:r>
        <w:rPr>
          <w:b w:val="0"/>
          <w:i w:val="0"/>
          <w:color w:val="1C1626"/>
          <w:sz w:val="21"/>
        </w:rPr>
        <w:t>Replace the placeholder panel on each cover with your organisation's logo. The 27001 Systems mark appears only in the cover band and footer as the template's provider credit.</w:t>
      </w:r>
    </w:p>
    <w:p>
      <w:pPr>
        <w:pStyle w:val="ListBullet"/>
        <w:spacing w:after="60"/>
      </w:pPr>
      <w:r>
        <w:rPr>
          <w:b/>
          <w:i w:val="0"/>
          <w:color w:val="44089B"/>
          <w:sz w:val="21"/>
        </w:rPr>
        <w:t xml:space="preserve">Document control. </w:t>
      </w:r>
      <w:r>
        <w:rPr>
          <w:b w:val="0"/>
          <w:i w:val="0"/>
          <w:color w:val="1C1626"/>
          <w:sz w:val="21"/>
        </w:rPr>
        <w:t>The cover carries the title, reference, version, classification, owner, approver and review dates. Keep this block current — it is your evidence of document control (Clause 7.5).</w:t>
      </w:r>
    </w:p>
    <w:p>
      <w:pPr>
        <w:pStyle w:val="Heading2"/>
      </w:pPr>
      <w:r>
        <w:t>3.2  Placeholders and inputs</w:t>
      </w:r>
    </w:p>
    <w:p>
      <w:pPr>
        <w:pStyle w:val="ListBullet"/>
        <w:spacing w:after="60"/>
      </w:pPr>
      <w:r>
        <w:rPr>
          <w:b/>
          <w:i w:val="0"/>
          <w:color w:val="44089B"/>
          <w:sz w:val="21"/>
        </w:rPr>
        <w:t xml:space="preserve">[Bracketed text] </w:t>
      </w:r>
      <w:r>
        <w:rPr>
          <w:b w:val="0"/>
          <w:i w:val="0"/>
          <w:color w:val="1C1626"/>
          <w:sz w:val="21"/>
        </w:rPr>
        <w:t>marks something you must replace — for example [Organisation Name], [Document Owner / Role] and [DD Month YYYY].</w:t>
      </w:r>
    </w:p>
    <w:p>
      <w:pPr>
        <w:pStyle w:val="ListBullet"/>
        <w:spacing w:after="60"/>
      </w:pPr>
      <w:r>
        <w:rPr>
          <w:b/>
          <w:i w:val="0"/>
          <w:color w:val="44089B"/>
          <w:sz w:val="21"/>
        </w:rPr>
        <w:t xml:space="preserve">Pale-yellow cells </w:t>
      </w:r>
      <w:r>
        <w:rPr>
          <w:b w:val="0"/>
          <w:i w:val="0"/>
          <w:color w:val="1C1626"/>
          <w:sz w:val="21"/>
        </w:rPr>
        <w:t>in the workbooks are inputs that need your data. Do not delete column headings or change control reference numbers.</w:t>
      </w:r>
    </w:p>
    <w:p>
      <w:pPr>
        <w:pStyle w:val="Heading2"/>
      </w:pPr>
      <w:r>
        <w:t>3.3  Classification and footer</w:t>
      </w:r>
    </w:p>
    <w:p>
      <w:pPr>
        <w:spacing w:after="120" w:before="0"/>
      </w:pPr>
      <w:r>
        <w:rPr>
          <w:b w:val="0"/>
          <w:i w:val="0"/>
          <w:color w:val="1C1626"/>
          <w:sz w:val="21"/>
        </w:rPr>
        <w:t>Every page footer carries the document reference, version and classification, plus the 27001 Systems provider credit. Set the classification on the cover to match your own information classification scheme (see ISMS-POL-05).</w:t>
      </w:r>
    </w:p>
    <w:tbl>
      <w:tblPr>
        <w:tblW w:type="auto" w:w="0"/>
        <w:tblLayout w:type="fixed"/>
        <w:tblLook w:firstColumn="1" w:firstRow="1" w:lastColumn="0" w:lastRow="0" w:noHBand="0" w:noVBand="1" w:val="04A0"/>
      </w:tblPr>
      <w:tblGrid>
        <w:gridCol w:w="9638"/>
      </w:tblGrid>
      <w:tr>
        <w:tc>
          <w:tcPr>
            <w:tcW w:type="dxa" w:w="9638"/>
            <w:shd w:val="clear" w:color="auto" w:fill="F1E9FB"/>
            <w:tcBorders>
              <w:left w:val="single" w:sz="4" w:space="0" w:color="B843F3"/>
              <w:top w:val="single" w:sz="4" w:space="0" w:color="E5DAF1"/>
              <w:bottom w:val="single" w:sz="4" w:space="0" w:color="E5DAF1"/>
              <w:right w:val="single" w:sz="4" w:space="0" w:color="E5DAF1"/>
            </w:tcBorders>
            <w:tcMar>
              <w:top w:w="90" w:type="dxa"/>
              <w:bottom w:w="90" w:type="dxa"/>
              <w:start w:w="150" w:type="dxa"/>
              <w:end w:w="150" w:type="dxa"/>
            </w:tcMar>
          </w:tcPr>
          <w:p>
            <w:r/>
            <w:r>
              <w:rPr>
                <w:b/>
                <w:color w:val="44089B"/>
                <w:sz w:val="20"/>
              </w:rPr>
              <w:t>Tip — keep references intact</w:t>
            </w:r>
          </w:p>
          <w:p>
            <w:pPr>
              <w:spacing w:after="40"/>
            </w:pPr>
            <w:r>
              <w:rPr>
                <w:color w:val="1C1626"/>
                <w:sz w:val="19"/>
              </w:rPr>
              <w:t>Cross-references between documents use the canonical reference only (for example “ISMS-POL-02”), so they never break when you rename a file. Keep the reference numbers intact.</w:t>
            </w:r>
          </w:p>
        </w:tc>
      </w:tr>
    </w:tbl>
    <w:p>
      <w:pPr>
        <w:pStyle w:val="Heading1"/>
      </w:pPr>
      <w:r>
        <w:t>4  Preparing to adopt</w:t>
      </w:r>
    </w:p>
    <w:p>
      <w:pPr>
        <w:spacing w:after="120" w:before="20"/>
      </w:pPr>
      <w:r>
        <w:drawing>
          <wp:inline xmlns:a="http://schemas.openxmlformats.org/drawingml/2006/main" xmlns:pic="http://schemas.openxmlformats.org/drawingml/2006/picture">
            <wp:extent cx="6120000" cy="57600"/>
            <wp:docPr id="6" name="Picture 6"/>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Before you begin completing documents, put four things in place.</w:t>
      </w:r>
    </w:p>
    <w:p>
      <w:pPr>
        <w:pStyle w:val="ListNumber"/>
        <w:spacing w:after="60"/>
      </w:pPr>
      <w:r>
        <w:rPr>
          <w:sz w:val="21"/>
        </w:rPr>
        <w:t>Appoint the Information Security Manager and confirm leadership sponsorship (top management must own the ISMS).</w:t>
      </w:r>
    </w:p>
    <w:p>
      <w:pPr>
        <w:pStyle w:val="ListNumber"/>
        <w:spacing w:after="60"/>
      </w:pPr>
      <w:r>
        <w:rPr>
          <w:sz w:val="21"/>
        </w:rPr>
        <w:t>Agree your document-control approach: where masters live, how versions are numbered, and who approves.</w:t>
      </w:r>
    </w:p>
    <w:p>
      <w:pPr>
        <w:pStyle w:val="ListNumber"/>
        <w:spacing w:after="60"/>
      </w:pPr>
      <w:r>
        <w:rPr>
          <w:sz w:val="21"/>
        </w:rPr>
        <w:t>Decide your information classification scheme so it is applied consistently from the first document.</w:t>
      </w:r>
    </w:p>
    <w:p>
      <w:pPr>
        <w:pStyle w:val="ListNumber"/>
        <w:spacing w:after="60"/>
      </w:pPr>
      <w:r>
        <w:rPr>
          <w:sz w:val="21"/>
        </w:rPr>
        <w:t>Set the ISMS scope boundary at a high level — you will formalise it in ISMS-CTX-02.</w:t>
      </w:r>
    </w:p>
    <w:p>
      <w:pPr>
        <w:pStyle w:val="Heading1"/>
      </w:pPr>
      <w:r>
        <w:t>5  Implementation roadmap</w:t>
      </w:r>
    </w:p>
    <w:p>
      <w:pPr>
        <w:spacing w:after="120" w:before="20"/>
      </w:pPr>
      <w:r>
        <w:drawing>
          <wp:inline xmlns:a="http://schemas.openxmlformats.org/drawingml/2006/main" xmlns:pic="http://schemas.openxmlformats.org/drawingml/2006/picture">
            <wp:extent cx="6120000" cy="57600"/>
            <wp:docPr id="7" name="Picture 7"/>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Work through the following ten steps in order. Each step lists the documents to complete and the ISO/IEC 27001 clause it satisfies.</w:t>
      </w:r>
    </w:p>
    <w:tbl>
      <w:tblPr>
        <w:tblW w:type="auto" w:w="0"/>
        <w:tblLayout w:type="fixed"/>
        <w:tblLook w:firstColumn="1" w:firstRow="1" w:lastColumn="0" w:lastRow="0" w:noHBand="0" w:noVBand="1" w:val="04A0"/>
      </w:tblPr>
      <w:tblGrid>
        <w:gridCol w:w="2409"/>
        <w:gridCol w:w="2409"/>
        <w:gridCol w:w="2409"/>
        <w:gridCol w:w="2409"/>
      </w:tblGrid>
      <w:tr>
        <w:trPr>
          <w:tblHeader w:val="true"/>
        </w:trPr>
        <w:tc>
          <w:tcPr>
            <w:tcW w:type="dxa" w:w="215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Step</w:t>
            </w:r>
          </w:p>
        </w:tc>
        <w:tc>
          <w:tcPr>
            <w:tcW w:type="dxa" w:w="3742"/>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What you do</w:t>
            </w:r>
          </w:p>
        </w:tc>
        <w:tc>
          <w:tcPr>
            <w:tcW w:type="dxa" w:w="2608"/>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Documents</w:t>
            </w:r>
          </w:p>
        </w:tc>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Clause</w:t>
            </w:r>
          </w:p>
        </w:tc>
      </w:tr>
      <w:tr>
        <w:trPr>
          <w:cantSplit/>
        </w:trPr>
        <w:tc>
          <w:tcPr>
            <w:tcW w:type="dxa" w:w="215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1  Context &amp; scope</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Define the organisation's context, interested parties and the ISMS scope</w:t>
            </w:r>
          </w:p>
        </w:tc>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CTX-01, CTX-02, CTX-03, MAN-01</w:t>
            </w:r>
          </w:p>
        </w:tc>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w:t>
            </w:r>
          </w:p>
        </w:tc>
      </w:tr>
      <w:tr>
        <w:trPr>
          <w:cantSplit/>
        </w:trPr>
        <w:tc>
          <w:tcPr>
            <w:tcW w:type="dxa" w:w="215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2  Leadership &amp; policy</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Adopt the information security policy; assign roles and accountabilities</w:t>
            </w:r>
          </w:p>
        </w:tc>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POL-01, GOV-01, GOV-02, GOV-04</w:t>
            </w:r>
          </w:p>
        </w:tc>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w:t>
            </w:r>
          </w:p>
        </w:tc>
      </w:tr>
      <w:tr>
        <w:trPr>
          <w:cantSplit/>
        </w:trPr>
        <w:tc>
          <w:tcPr>
            <w:tcW w:type="dxa" w:w="215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3  Risk management</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Run the risk assessment and record risks and treatments</w:t>
            </w:r>
          </w:p>
        </w:tc>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RSK-01, RSK-02</w:t>
            </w:r>
          </w:p>
        </w:tc>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w:t>
            </w:r>
          </w:p>
        </w:tc>
      </w:tr>
      <w:tr>
        <w:trPr>
          <w:cantSplit/>
        </w:trPr>
        <w:tc>
          <w:tcPr>
            <w:tcW w:type="dxa" w:w="215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4  Statement of Applicability</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Decide applicability of all 93 Annex A controls and the justification</w:t>
            </w:r>
          </w:p>
        </w:tc>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SOA-01</w:t>
            </w:r>
          </w:p>
        </w:tc>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6.1.3</w:t>
            </w:r>
          </w:p>
        </w:tc>
      </w:tr>
      <w:tr>
        <w:trPr>
          <w:cantSplit/>
        </w:trPr>
        <w:tc>
          <w:tcPr>
            <w:tcW w:type="dxa" w:w="215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5  Objectives &amp; planning</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Set measurable security objectives and the plan to achieve them</w:t>
            </w:r>
          </w:p>
        </w:tc>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GOV-03, GOV-06</w:t>
            </w:r>
          </w:p>
        </w:tc>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6.2</w:t>
            </w:r>
          </w:p>
        </w:tc>
      </w:tr>
      <w:tr>
        <w:trPr>
          <w:cantSplit/>
        </w:trPr>
        <w:tc>
          <w:tcPr>
            <w:tcW w:type="dxa" w:w="215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6  Policies &amp; procedures</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Tailor the topic policies and operating procedures to your controls</w:t>
            </w:r>
          </w:p>
        </w:tc>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POL-02–29, PRO-01–10</w:t>
            </w:r>
          </w:p>
        </w:tc>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7–8</w:t>
            </w:r>
          </w:p>
        </w:tc>
      </w:tr>
      <w:tr>
        <w:trPr>
          <w:cantSplit/>
        </w:trPr>
        <w:tc>
          <w:tcPr>
            <w:tcW w:type="dxa" w:w="215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7  Registers &amp; records</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Stand up the working registers and logs</w:t>
            </w:r>
          </w:p>
        </w:tc>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REG-01–09, FRM-01–09</w:t>
            </w:r>
          </w:p>
        </w:tc>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7.5 / 8</w:t>
            </w:r>
          </w:p>
        </w:tc>
      </w:tr>
      <w:tr>
        <w:trPr>
          <w:cantSplit/>
        </w:trPr>
        <w:tc>
          <w:tcPr>
            <w:tcW w:type="dxa" w:w="215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8  People &amp; training</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Confirm competence and deliver awareness training</w:t>
            </w:r>
          </w:p>
        </w:tc>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GOV-05, TRN-01–03</w:t>
            </w:r>
          </w:p>
        </w:tc>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7.2–7.3</w:t>
            </w:r>
          </w:p>
        </w:tc>
      </w:tr>
      <w:tr>
        <w:trPr>
          <w:cantSplit/>
        </w:trPr>
        <w:tc>
          <w:tcPr>
            <w:tcW w:type="dxa" w:w="215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9  Monitor, audit &amp; review</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Measure performance, run internal audit and management review</w:t>
            </w:r>
          </w:p>
        </w:tc>
        <w:tc>
          <w:tcPr>
            <w:tcW w:type="dxa" w:w="260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PRO-02, PRO-03, PRO-06, AUD-01</w:t>
            </w:r>
          </w:p>
        </w:tc>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w:t>
            </w:r>
          </w:p>
        </w:tc>
      </w:tr>
      <w:tr>
        <w:trPr>
          <w:cantSplit/>
        </w:trPr>
        <w:tc>
          <w:tcPr>
            <w:tcW w:type="dxa" w:w="215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7"/>
              </w:rPr>
              <w:t>10  Improve &amp; certify</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Handle nonconformities, improve, then book certification</w:t>
            </w:r>
          </w:p>
        </w:tc>
        <w:tc>
          <w:tcPr>
            <w:tcW w:type="dxa" w:w="260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PRO-04, PRO-05, FRM-01</w:t>
            </w:r>
          </w:p>
        </w:tc>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w:t>
            </w:r>
          </w:p>
        </w:tc>
      </w:tr>
    </w:tbl>
    <w:tbl>
      <w:tblPr>
        <w:tblW w:type="auto" w:w="0"/>
        <w:tblLayout w:type="fixed"/>
        <w:tblLook w:firstColumn="1" w:firstRow="1" w:lastColumn="0" w:lastRow="0" w:noHBand="0" w:noVBand="1" w:val="04A0"/>
      </w:tblPr>
      <w:tblGrid>
        <w:gridCol w:w="9638"/>
      </w:tblGrid>
      <w:tr>
        <w:tc>
          <w:tcPr>
            <w:tcW w:type="dxa" w:w="9638"/>
            <w:shd w:val="clear" w:color="auto" w:fill="F1E9FB"/>
            <w:tcBorders>
              <w:left w:val="single" w:sz="4" w:space="0" w:color="B843F3"/>
              <w:top w:val="single" w:sz="4" w:space="0" w:color="E5DAF1"/>
              <w:bottom w:val="single" w:sz="4" w:space="0" w:color="E5DAF1"/>
              <w:right w:val="single" w:sz="4" w:space="0" w:color="E5DAF1"/>
            </w:tcBorders>
            <w:tcMar>
              <w:top w:w="90" w:type="dxa"/>
              <w:bottom w:w="90" w:type="dxa"/>
              <w:start w:w="150" w:type="dxa"/>
              <w:end w:w="150" w:type="dxa"/>
            </w:tcMar>
          </w:tcPr>
          <w:p>
            <w:r/>
            <w:r>
              <w:rPr>
                <w:b/>
                <w:color w:val="44089B"/>
                <w:sz w:val="20"/>
              </w:rPr>
              <w:t>Business continuity</w:t>
            </w:r>
          </w:p>
          <w:p>
            <w:pPr>
              <w:spacing w:after="40"/>
            </w:pPr>
            <w:r>
              <w:rPr>
                <w:color w:val="1C1626"/>
                <w:sz w:val="19"/>
              </w:rPr>
              <w:t>Business continuity (ISMS-BCP-01 to 05) supports controls 5.29–5.30 and Clause 8. Complete the business impact analysis and plans alongside Steps 6–7.</w:t>
            </w:r>
          </w:p>
        </w:tc>
      </w:tr>
    </w:tbl>
    <w:p>
      <w:pPr>
        <w:pStyle w:val="Heading1"/>
      </w:pPr>
      <w:r>
        <w:t>6  Mandatory records — where they live</w:t>
      </w:r>
    </w:p>
    <w:p>
      <w:pPr>
        <w:spacing w:after="120" w:before="20"/>
      </w:pPr>
      <w:r>
        <w:drawing>
          <wp:inline xmlns:a="http://schemas.openxmlformats.org/drawingml/2006/main" xmlns:pic="http://schemas.openxmlformats.org/drawingml/2006/picture">
            <wp:extent cx="6120000" cy="57600"/>
            <wp:docPr id="8" name="Picture 8"/>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ISO/IEC 27001 requires specific documented information. Each item below is satisfied by a document in the suite; keep these current as your primary certification evidence.</w:t>
      </w:r>
    </w:p>
    <w:tbl>
      <w:tblPr>
        <w:tblW w:type="auto" w:w="0"/>
        <w:tblLayout w:type="fixed"/>
        <w:tblLook w:firstColumn="1" w:firstRow="1" w:lastColumn="0" w:lastRow="0" w:noHBand="0" w:noVBand="1" w:val="04A0"/>
      </w:tblPr>
      <w:tblGrid>
        <w:gridCol w:w="3213"/>
        <w:gridCol w:w="3213"/>
        <w:gridCol w:w="3213"/>
      </w:tblGrid>
      <w:tr>
        <w:trPr>
          <w:tblHeader w:val="true"/>
        </w:trPr>
        <w:tc>
          <w:tcPr>
            <w:tcW w:type="dxa" w:w="147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Clause</w:t>
            </w:r>
          </w:p>
        </w:tc>
        <w:tc>
          <w:tcPr>
            <w:tcW w:type="dxa" w:w="4422"/>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Mandatory record</w:t>
            </w:r>
          </w:p>
        </w:tc>
        <w:tc>
          <w:tcPr>
            <w:tcW w:type="dxa" w:w="3742"/>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Document(s)</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4.3</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 scope</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ISMS-CTX-02</w:t>
            </w:r>
          </w:p>
        </w:tc>
      </w:tr>
      <w:tr>
        <w:trPr>
          <w:cantSplit/>
        </w:trPr>
        <w:tc>
          <w:tcPr>
            <w:tcW w:type="dxa" w:w="147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5.2</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policy</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ISMS-POL-01</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6.1.2 / 6.1.3</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Risk assessment &amp; treatment process</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ISMS-RSK-01</w:t>
            </w:r>
          </w:p>
        </w:tc>
      </w:tr>
      <w:tr>
        <w:trPr>
          <w:cantSplit/>
        </w:trPr>
        <w:tc>
          <w:tcPr>
            <w:tcW w:type="dxa" w:w="147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6.1.3 d)</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Statement of Applicability</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ISMS-SOA-01</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6.2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objectives</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ISMS-GOV-03</w:t>
            </w:r>
          </w:p>
        </w:tc>
      </w:tr>
      <w:tr>
        <w:trPr>
          <w:cantSplit/>
        </w:trPr>
        <w:tc>
          <w:tcPr>
            <w:tcW w:type="dxa" w:w="147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7.2</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Evidence of competence</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ISMS-GOV-05</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8.2 / 8.3</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Risk assessment &amp; treatment results</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ISMS-RSK-02, ISMS-SOA-01</w:t>
            </w:r>
          </w:p>
        </w:tc>
      </w:tr>
      <w:tr>
        <w:trPr>
          <w:cantSplit/>
        </w:trPr>
        <w:tc>
          <w:tcPr>
            <w:tcW w:type="dxa" w:w="147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9.1</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Monitoring &amp; measurement evidence</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ISMS-PRO-06, ISMS-GOV-03</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9.2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Internal audit programme &amp; results</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ISMS-PRO-02, ISMS-FRM-02, ISMS-AUD-01</w:t>
            </w:r>
          </w:p>
        </w:tc>
      </w:tr>
      <w:tr>
        <w:trPr>
          <w:cantSplit/>
        </w:trPr>
        <w:tc>
          <w:tcPr>
            <w:tcW w:type="dxa" w:w="147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9.3</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Management review results</w:t>
            </w:r>
          </w:p>
        </w:tc>
        <w:tc>
          <w:tcPr>
            <w:tcW w:type="dxa" w:w="374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ISMS-PRO-03, ISMS-FRM-04</w:t>
            </w:r>
          </w:p>
        </w:tc>
      </w:tr>
      <w:tr>
        <w:trPr>
          <w:cantSplit/>
        </w:trPr>
        <w:tc>
          <w:tcPr>
            <w:tcW w:type="dxa" w:w="147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8"/>
              </w:rPr>
              <w:t>10.2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Nonconformity &amp; corrective action</w:t>
            </w:r>
          </w:p>
        </w:tc>
        <w:tc>
          <w:tcPr>
            <w:tcW w:type="dxa" w:w="374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ISMS-PRO-04, ISMS-FRM-01, ISMS-REG-07</w:t>
            </w:r>
          </w:p>
        </w:tc>
      </w:tr>
    </w:tbl>
    <w:p>
      <w:pPr>
        <w:pStyle w:val="Heading1"/>
      </w:pPr>
      <w:r>
        <w:t>7  Maintaining the ISMS</w:t>
      </w:r>
    </w:p>
    <w:p>
      <w:pPr>
        <w:spacing w:after="120" w:before="20"/>
      </w:pPr>
      <w:r>
        <w:drawing>
          <wp:inline xmlns:a="http://schemas.openxmlformats.org/drawingml/2006/main" xmlns:pic="http://schemas.openxmlformats.org/drawingml/2006/picture">
            <wp:extent cx="6120000" cy="57600"/>
            <wp:docPr id="9" name="Picture 9"/>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Certification is the beginning, not the end. Keep the system alive with a simple, regular cadence.</w:t>
      </w:r>
    </w:p>
    <w:p>
      <w:pPr>
        <w:pStyle w:val="ListBullet"/>
        <w:spacing w:after="60"/>
      </w:pPr>
      <w:r>
        <w:rPr>
          <w:b/>
          <w:i w:val="0"/>
          <w:color w:val="44089B"/>
          <w:sz w:val="21"/>
        </w:rPr>
        <w:t xml:space="preserve">Continuously: </w:t>
      </w:r>
      <w:r>
        <w:rPr>
          <w:b w:val="0"/>
          <w:i w:val="0"/>
          <w:color w:val="1C1626"/>
          <w:sz w:val="21"/>
        </w:rPr>
        <w:t>log incidents, changes, access reviews and corrective actions in the registers as they happen.</w:t>
      </w:r>
    </w:p>
    <w:p>
      <w:pPr>
        <w:pStyle w:val="ListBullet"/>
        <w:spacing w:after="60"/>
      </w:pPr>
      <w:r>
        <w:rPr>
          <w:b/>
          <w:i w:val="0"/>
          <w:color w:val="44089B"/>
          <w:sz w:val="21"/>
        </w:rPr>
        <w:t xml:space="preserve">Monthly / quarterly: </w:t>
      </w:r>
      <w:r>
        <w:rPr>
          <w:b w:val="0"/>
          <w:i w:val="0"/>
          <w:color w:val="1C1626"/>
          <w:sz w:val="21"/>
        </w:rPr>
        <w:t>review risks and objectives, and confirm treatments are on track.</w:t>
      </w:r>
    </w:p>
    <w:p>
      <w:pPr>
        <w:pStyle w:val="ListBullet"/>
        <w:spacing w:after="60"/>
      </w:pPr>
      <w:r>
        <w:rPr>
          <w:b/>
          <w:i w:val="0"/>
          <w:color w:val="44089B"/>
          <w:sz w:val="21"/>
        </w:rPr>
        <w:t xml:space="preserve">At least annually: </w:t>
      </w:r>
      <w:r>
        <w:rPr>
          <w:b w:val="0"/>
          <w:i w:val="0"/>
          <w:color w:val="1C1626"/>
          <w:sz w:val="21"/>
        </w:rPr>
        <w:t>run an internal audit (PRO-02) and a management review (PRO-03), then update the risk register and SoA.</w:t>
      </w:r>
    </w:p>
    <w:p>
      <w:pPr>
        <w:pStyle w:val="ListBullet"/>
        <w:spacing w:after="60"/>
      </w:pPr>
      <w:r>
        <w:rPr>
          <w:b/>
          <w:i w:val="0"/>
          <w:color w:val="44089B"/>
          <w:sz w:val="21"/>
        </w:rPr>
        <w:t xml:space="preserve">On significant change: </w:t>
      </w:r>
      <w:r>
        <w:rPr>
          <w:b w:val="0"/>
          <w:i w:val="0"/>
          <w:color w:val="1C1626"/>
          <w:sz w:val="21"/>
        </w:rPr>
        <w:t>re-assess risk and review affected policies before the change goes live (PRO-07).</w:t>
      </w:r>
    </w:p>
    <w:tbl>
      <w:tblPr>
        <w:tblW w:type="auto" w:w="0"/>
        <w:tblLayout w:type="fixed"/>
        <w:tblLook w:firstColumn="1" w:firstRow="1" w:lastColumn="0" w:lastRow="0" w:noHBand="0" w:noVBand="1" w:val="04A0"/>
      </w:tblPr>
      <w:tblGrid>
        <w:gridCol w:w="9638"/>
      </w:tblGrid>
      <w:tr>
        <w:tc>
          <w:tcPr>
            <w:tcW w:type="dxa" w:w="9638"/>
            <w:shd w:val="clear" w:color="auto" w:fill="F1E9FB"/>
            <w:tcBorders>
              <w:left w:val="single" w:sz="4" w:space="0" w:color="B843F3"/>
              <w:top w:val="single" w:sz="4" w:space="0" w:color="E5DAF1"/>
              <w:bottom w:val="single" w:sz="4" w:space="0" w:color="E5DAF1"/>
              <w:right w:val="single" w:sz="4" w:space="0" w:color="E5DAF1"/>
            </w:tcBorders>
            <w:tcMar>
              <w:top w:w="90" w:type="dxa"/>
              <w:bottom w:w="90" w:type="dxa"/>
              <w:start w:w="150" w:type="dxa"/>
              <w:end w:w="150" w:type="dxa"/>
            </w:tcMar>
          </w:tcPr>
          <w:p>
            <w:r/>
            <w:r>
              <w:rPr>
                <w:b/>
                <w:color w:val="44089B"/>
                <w:sz w:val="20"/>
              </w:rPr>
              <w:t>Evidence of a living system</w:t>
            </w:r>
          </w:p>
          <w:p>
            <w:pPr>
              <w:spacing w:after="40"/>
            </w:pPr>
            <w:r>
              <w:rPr>
                <w:color w:val="1C1626"/>
                <w:sz w:val="19"/>
              </w:rPr>
              <w:t>Version every change on the document's cover and in the change log (ISMS-REG-08). Auditors look for evidence that the ISMS is used, not just written.</w:t>
            </w:r>
          </w:p>
        </w:tc>
      </w:tr>
    </w:tbl>
    <w:p>
      <w:pPr>
        <w:pStyle w:val="Heading1"/>
      </w:pPr>
      <w:r>
        <w:t>8  Support &amp; branding</w:t>
      </w:r>
    </w:p>
    <w:p>
      <w:pPr>
        <w:spacing w:after="120" w:before="20"/>
      </w:pPr>
      <w:r>
        <w:drawing>
          <wp:inline xmlns:a="http://schemas.openxmlformats.org/drawingml/2006/main" xmlns:pic="http://schemas.openxmlformats.org/drawingml/2006/picture">
            <wp:extent cx="6120000" cy="57600"/>
            <wp:docPr id="10" name="Picture 10"/>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The suite is provided by 27001 Systems. Each document is licensed to the purchasing organisation for use in operating its own ISMS. Insert your own organisation's brand on every cover; the 27001 Systems mark remains only in the provider credit band and footer.</w:t>
      </w:r>
    </w:p>
    <w:p>
      <w:pPr>
        <w:pStyle w:val="ListBullet"/>
        <w:spacing w:after="60"/>
      </w:pPr>
      <w:r>
        <w:rPr>
          <w:b/>
          <w:i w:val="0"/>
          <w:color w:val="44089B"/>
          <w:sz w:val="21"/>
        </w:rPr>
        <w:t xml:space="preserve">Provider: </w:t>
      </w:r>
      <w:r>
        <w:rPr>
          <w:b w:val="0"/>
          <w:i w:val="0"/>
          <w:color w:val="1C1626"/>
          <w:sz w:val="21"/>
        </w:rPr>
        <w:t>27001 Systems — 27001systems.com</w:t>
      </w:r>
    </w:p>
    <w:p>
      <w:pPr>
        <w:pStyle w:val="ListBullet"/>
        <w:spacing w:after="60"/>
      </w:pPr>
      <w:r>
        <w:rPr>
          <w:b/>
          <w:i w:val="0"/>
          <w:color w:val="44089B"/>
          <w:sz w:val="21"/>
        </w:rPr>
        <w:t xml:space="preserve">Master index: </w:t>
      </w:r>
      <w:r>
        <w:rPr>
          <w:b w:val="0"/>
          <w:i w:val="0"/>
          <w:color w:val="1C1626"/>
          <w:sz w:val="21"/>
        </w:rPr>
        <w:t>see ISMS-ARC-01 Suite Architecture &amp; Document Register for every reference and title.</w:t>
      </w:r>
    </w:p>
    <w:p>
      <w:pPr>
        <w:pStyle w:val="ListBullet"/>
        <w:spacing w:after="60"/>
      </w:pPr>
      <w:r>
        <w:rPr>
          <w:b/>
          <w:i w:val="0"/>
          <w:color w:val="44089B"/>
          <w:sz w:val="21"/>
        </w:rPr>
        <w:t xml:space="preserve">Coverage at a glance: </w:t>
      </w:r>
      <w:r>
        <w:rPr>
          <w:b w:val="0"/>
          <w:i w:val="0"/>
          <w:color w:val="1C1626"/>
          <w:sz w:val="21"/>
        </w:rPr>
        <w:t>the one-page Coverage Matrix maps every clause and all 93 Annex A controls.</w:t>
      </w:r>
    </w:p>
    <w:p>
      <w:pPr>
        <w:pStyle w:val="Heading2"/>
      </w:pPr>
      <w:r>
        <w:t>Version history</w:t>
      </w:r>
    </w:p>
    <w:p>
      <w:pPr>
        <w:spacing w:after="120" w:before="0"/>
      </w:pPr>
      <w:r>
        <w:rPr>
          <w:b w:val="0"/>
          <w:i w:val="0"/>
          <w:color w:val="665979"/>
          <w:sz w:val="19"/>
        </w:rPr>
        <w:t>Record each revision of this document. The purchasing organisation maintains version control after adoption.</w:t>
      </w:r>
    </w:p>
    <w:tbl>
      <w:tblPr>
        <w:tblW w:type="auto" w:w="0"/>
        <w:tblLayout w:type="fixed"/>
        <w:tblLook w:firstColumn="1" w:firstRow="1" w:lastColumn="0" w:lastRow="0" w:noHBand="0" w:noVBand="1" w:val="04A0"/>
      </w:tblPr>
      <w:tblGrid>
        <w:gridCol w:w="2409"/>
        <w:gridCol w:w="2409"/>
        <w:gridCol w:w="2409"/>
        <w:gridCol w:w="2409"/>
      </w:tblGrid>
      <w:tr>
        <w:trPr>
          <w:tblHeader w:val="true"/>
        </w:trPr>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Version</w:t>
            </w:r>
          </w:p>
        </w:tc>
        <w:tc>
          <w:tcPr>
            <w:tcW w:type="dxa" w:w="158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Date</w:t>
            </w:r>
          </w:p>
        </w:tc>
        <w:tc>
          <w:tcPr>
            <w:tcW w:type="dxa" w:w="198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Author</w:t>
            </w:r>
          </w:p>
        </w:tc>
        <w:tc>
          <w:tcPr>
            <w:tcW w:type="dxa" w:w="4819"/>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Summary of change</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t>[0.1]</w:t>
            </w:r>
          </w:p>
        </w:tc>
        <w:tc>
          <w:tcPr>
            <w:tcW w:type="dxa" w:w="158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[DD/MM/YYYY]</w:t>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[Author]</w:t>
            </w:r>
          </w:p>
        </w:tc>
        <w:tc>
          <w:tcPr>
            <w:tcW w:type="dxa" w:w="481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Initial issue / adoption of 27001 Systems template</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r>
          </w:p>
        </w:tc>
        <w:tc>
          <w:tcPr>
            <w:tcW w:type="dxa" w:w="158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481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r>
          </w:p>
        </w:tc>
        <w:tc>
          <w:tcPr>
            <w:tcW w:type="dxa" w:w="158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481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bl>
    <w:p>
      <w:pPr>
        <w:pStyle w:val="Heading2"/>
      </w:pPr>
      <w:r>
        <w:t>Review and approval</w:t>
      </w:r>
    </w:p>
    <w:p>
      <w:pPr>
        <w:spacing w:after="120" w:before="0"/>
      </w:pPr>
      <w:r>
        <w:rPr>
          <w:b w:val="0"/>
          <w:i w:val="0"/>
          <w:color w:val="665979"/>
          <w:sz w:val="19"/>
        </w:rPr>
        <w:t>This document has been reviewed and approved by the following.</w:t>
      </w:r>
    </w:p>
    <w:tbl>
      <w:tblPr>
        <w:tblW w:type="auto" w:w="0"/>
        <w:tblLayout w:type="fixed"/>
        <w:tblLook w:firstColumn="1" w:firstRow="1" w:lastColumn="0" w:lastRow="0" w:noHBand="0" w:noVBand="1" w:val="04A0"/>
      </w:tblPr>
      <w:tblGrid>
        <w:gridCol w:w="2409"/>
        <w:gridCol w:w="2409"/>
        <w:gridCol w:w="2409"/>
        <w:gridCol w:w="2409"/>
      </w:tblGrid>
      <w:tr>
        <w:trPr>
          <w:tblHeader w:val="true"/>
        </w:trPr>
        <w:tc>
          <w:tcPr>
            <w:tcW w:type="dxa" w:w="3402"/>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Role</w:t>
            </w:r>
          </w:p>
        </w:tc>
        <w:tc>
          <w:tcPr>
            <w:tcW w:type="dxa" w:w="2551"/>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Name</w:t>
            </w:r>
          </w:p>
        </w:tc>
        <w:tc>
          <w:tcPr>
            <w:tcW w:type="dxa" w:w="198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Signature</w:t>
            </w:r>
          </w:p>
        </w:tc>
        <w:tc>
          <w:tcPr>
            <w:tcW w:type="dxa" w:w="1701"/>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Date</w:t>
            </w:r>
          </w:p>
        </w:tc>
      </w:tr>
      <w:tr>
        <w:trPr>
          <w:cantSplit/>
        </w:trPr>
        <w:tc>
          <w:tcPr>
            <w:tcW w:type="dxa" w:w="340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t>Information Security Manager</w:t>
            </w:r>
          </w:p>
        </w:tc>
        <w:tc>
          <w:tcPr>
            <w:tcW w:type="dxa" w:w="255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70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r>
        <w:trPr>
          <w:cantSplit/>
        </w:trPr>
        <w:tc>
          <w:tcPr>
            <w:tcW w:type="dxa" w:w="340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t>Senior management sponsor</w:t>
            </w:r>
          </w:p>
        </w:tc>
        <w:tc>
          <w:tcPr>
            <w:tcW w:type="dxa" w:w="255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70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r>
        <w:trPr>
          <w:cantSplit/>
        </w:trPr>
        <w:tc>
          <w:tcPr>
            <w:tcW w:type="dxa" w:w="340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t>[Approver]</w:t>
            </w:r>
          </w:p>
        </w:tc>
        <w:tc>
          <w:tcPr>
            <w:tcW w:type="dxa" w:w="255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701"/>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bl>
    <w:sectPr w:rsidR="00FC693F" w:rsidRPr="0006063C" w:rsidSect="00034616">
      <w:headerReference w:type="default" r:id="rId9"/>
      <w:footerReference w:type="default" r:id="rId10"/>
      <w:footerReference w:type="first" r:id="rId11"/>
      <w:pgSz w:w="11906" w:h="16838"/>
      <w:pgMar w:top="1020" w:right="1134" w:bottom="1020" w:left="1134" w:header="624"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Bdr>
        <w:top w:val="single" w:sz="14" w:space="6" w:color="B843F3"/>
      </w:pBdr>
      <w:tabs>
        <w:tab w:pos="4819" w:val="center"/>
        <w:tab w:pos="9638" w:val="right"/>
      </w:tabs>
    </w:pPr>
    <w:r/>
    <w:r>
      <w:rPr>
        <w:b/>
        <w:color w:val="44089B"/>
        <w:sz w:val="16"/>
      </w:rPr>
      <w:t>© 27001 Systems</w:t>
    </w:r>
    <w:r>
      <w:rPr>
        <w:color w:val="665979"/>
        <w:sz w:val="16"/>
      </w:rPr>
      <w:tab/>
      <w:t>ISMS-GDE-01  •  v[0.1]  •  Confidential</w:t>
    </w:r>
    <w:r>
      <w:rPr>
        <w:sz w:val="16"/>
      </w:rPr>
      <w:tab/>
    </w:r>
    <w:r>
      <w:rPr>
        <w:color w:val="665979"/>
        <w:sz w:val="16"/>
      </w:rPr>
      <w:t xml:space="preserve">Page </w:t>
    </w:r>
    <w:r>
      <w:rPr>
        <w:b w:val="0"/>
        <w:color w:val="665979"/>
        <w:sz w:val="16"/>
      </w:rPr>
      <w:fldChar w:fldCharType="begin"/>
      <w:instrText xml:space="preserve">PAGE</w:instrText>
      <w:fldChar w:fldCharType="separate"/>
      <w:t>1</w:t>
      <w:fldChar w:fldCharType="end"/>
    </w:r>
    <w:r>
      <w:rPr>
        <w:color w:val="665979"/>
        <w:sz w:val="16"/>
      </w:rPr>
      <w:t xml:space="preserve"> of </w:t>
    </w:r>
    <w:r>
      <w:rPr>
        <w:b w:val="0"/>
        <w:color w:val="665979"/>
        <w:sz w:val="16"/>
      </w:rPr>
      <w:fldChar w:fldCharType="begin"/>
      <w:instrText xml:space="preserve">NUMPAGES</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before="0"/>
      <w:rPr>
        <w:sz w:val="4"/>
      </w:rPr>
    </w:pPr>
    <w:r/>
  </w:p>
  <w:p>
    <w:pPr>
      <w:spacing w:after="0" w:before="0"/>
      <w:jc w:val="center"/>
    </w:pPr>
    <w:r>
      <w:drawing>
        <wp:inline xmlns:a="http://schemas.openxmlformats.org/drawingml/2006/main" xmlns:pic="http://schemas.openxmlformats.org/drawingml/2006/picture">
          <wp:extent cx="6120000" cy="740323"/>
          <wp:docPr id="1" name="Picture 1"/>
          <wp:cNvGraphicFramePr>
            <a:graphicFrameLocks noChangeAspect="1"/>
          </wp:cNvGraphicFramePr>
          <a:graphic>
            <a:graphicData uri="http://schemas.openxmlformats.org/drawingml/2006/picture">
              <pic:pic>
                <pic:nvPicPr>
                  <pic:cNvPr id="0" name="band_gradient.png"/>
                  <pic:cNvPicPr/>
                </pic:nvPicPr>
                <pic:blipFill>
                  <a:blip r:embed="rId1"/>
                  <a:stretch>
                    <a:fillRect/>
                  </a:stretch>
                </pic:blipFill>
                <pic:spPr>
                  <a:xfrm>
                    <a:off x="0" y="0"/>
                    <a:ext cx="6120000" cy="740323"/>
                  </a:xfrm>
                  <a:prstGeom prst="rect"/>
                </pic:spPr>
              </pic:pic>
            </a:graphicData>
          </a:graphic>
        </wp:inline>
      </w:drawing>
    </w:r>
  </w:p>
  <w:p>
    <w:pPr>
      <w:spacing w:before="0" w:after="0"/>
      <w:rPr>
        <w:sz w:val="2"/>
      </w:rP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tabs>
        <w:tab w:pos="9638" w:val="right"/>
      </w:tabs>
      <w:pBdr>
        <w:bottom w:val="single" w:sz="6" w:space="4" w:color="E5DAF1"/>
      </w:pBdr>
    </w:pPr>
    <w:r/>
    <w:r>
      <w:rPr>
        <w:color w:val="665979"/>
        <w:sz w:val="17"/>
      </w:rPr>
      <w:t>[Organisation Name]</w:t>
    </w:r>
    <w:r>
      <w:rPr>
        <w:color w:val="665979"/>
        <w:sz w:val="17"/>
      </w:rPr>
      <w:tab/>
      <w:t>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s="Aptos"/>
      <w:color w:val="1C162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Aptos" w:hAnsi="Aptos"/>
      <w:b/>
      <w:bCs/>
      <w:color w:val="44089B"/>
      <w:sz w:val="34"/>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Aptos" w:hAnsi="Aptos"/>
      <w:b/>
      <w:bCs/>
      <w:color w:val="44089B"/>
      <w:sz w:val="26"/>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Aptos" w:hAnsi="Aptos"/>
      <w:b/>
      <w:bCs/>
      <w:color w:val="44089B"/>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44089B"/>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2.png"/><Relationship Id="rId13"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ISMS Implementation &amp; Usage Guide</dc:title>
  <dc:subject/>
  <dc:creator>27001 Systems</dc:creator>
  <cp:keywords>ISO 27001:2022; ISMS; Information Security; 27001 Systems</cp:keywords>
  <dc:description>Information Security Management System template provided by 27001 Systems (27001systems.com).</dc:description>
  <cp:lastModifiedBy>27001 Systems</cp:lastModifiedBy>
  <cp:revision>1</cp:revision>
  <dcterms:created xsi:type="dcterms:W3CDTF">2013-12-23T23:15:00Z</dcterms:created>
  <dcterms:modified xsi:type="dcterms:W3CDTF">2013-12-23T23:15:00Z</dcterms:modified>
  <cp:category>ISO/IEC 27001:2022 ISMS Template</cp:category>
</cp:coreProperties>
</file>